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AD29E71">
      <w:pPr>
        <w:pStyle w:val="2"/>
        <w:keepNext w:val="0"/>
        <w:keepLines w:val="0"/>
        <w:widowControl/>
        <w:suppressLineNumbers w:val="0"/>
      </w:pPr>
      <w:r>
        <w:t>&lt;Document: April 1956, Draft Charter of Youth Amateur Sports Schools&gt; – 2 Coded References [11.89% Coverage]</w:t>
      </w:r>
    </w:p>
    <w:p w14:paraId="4DD2296D">
      <w:pPr>
        <w:pStyle w:val="4"/>
        <w:keepNext w:val="0"/>
        <w:keepLines w:val="0"/>
        <w:widowControl/>
        <w:suppressLineNumbers w:val="0"/>
        <w:spacing w:beforeAutospacing="1" w:afterAutospacing="1"/>
      </w:pPr>
      <w:r>
        <w:rPr>
          <w:rStyle w:val="7"/>
        </w:rPr>
        <w:t>Reference 1 (5.70%)</w:t>
      </w:r>
      <w:r>
        <w:br w:type="textWrapping"/>
      </w:r>
      <w:r>
        <w:t>Article 1: The purpose of Youth Amateur Sports Schools is to utilize students’ spare time to cultivate outstanding athletes among young people, strengthen their ideological and moral character, improve their technical athletic skills, and enable them to acquire basic knowledge and skills in technical instruction and refereeing.</w:t>
      </w:r>
    </w:p>
    <w:p w14:paraId="02AC6176">
      <w:pPr>
        <w:pStyle w:val="4"/>
        <w:keepNext w:val="0"/>
        <w:keepLines w:val="0"/>
        <w:widowControl/>
        <w:suppressLineNumbers w:val="0"/>
        <w:spacing w:beforeAutospacing="1" w:afterAutospacing="1"/>
      </w:pPr>
      <w:r>
        <w:rPr>
          <w:rStyle w:val="7"/>
        </w:rPr>
        <w:t>Reference 2 (6.19%)</w:t>
      </w:r>
      <w:r>
        <w:br w:type="textWrapping"/>
      </w:r>
      <w:r>
        <w:t>Article 3: Youth Amateur Sports Schools shall be organized by the Sports Commission (hereinafter referred to as the Sports Commission) and sports associations. Schools organized by sports associations must be filed with the local Sports Commission. Sports Commissions at all levels bear responsibility for supervising, inspecting, and assisting Youth Amateur Sports Schools within their jurisdictions.</w:t>
      </w:r>
    </w:p>
    <w:p w14:paraId="0CD0FE1A">
      <w:pPr>
        <w:keepNext w:val="0"/>
        <w:keepLines w:val="0"/>
        <w:widowControl/>
        <w:suppressLineNumbers w:val="0"/>
      </w:pPr>
      <w:r>
        <w:pict>
          <v:rect id="_x0000_i1025" o:spt="1" style="height:1.5pt;width:432pt;" fillcolor="#A0A0A0" filled="t" stroked="f" coordsize="21600,21600" o:hr="t" o:hrstd="t" o:hralign="center">
            <v:path/>
            <v:fill on="t" focussize="0,0"/>
            <v:stroke on="f"/>
            <v:imagedata o:title=""/>
            <o:lock v:ext="edit"/>
            <w10:wrap type="none"/>
            <w10:anchorlock/>
          </v:rect>
        </w:pict>
      </w:r>
    </w:p>
    <w:p w14:paraId="6403CEBA">
      <w:pPr>
        <w:pStyle w:val="2"/>
        <w:keepNext w:val="0"/>
        <w:keepLines w:val="0"/>
        <w:widowControl/>
        <w:suppressLineNumbers w:val="0"/>
      </w:pPr>
      <w:r>
        <w:t>&lt;Document: April 1956, Draft Charter of Juvenile Amateur Sports Schools&gt; – 4 Coded References [11.47% Coverage]</w:t>
      </w:r>
    </w:p>
    <w:p w14:paraId="093231AB">
      <w:pPr>
        <w:pStyle w:val="4"/>
        <w:keepNext w:val="0"/>
        <w:keepLines w:val="0"/>
        <w:widowControl/>
        <w:suppressLineNumbers w:val="0"/>
        <w:spacing w:beforeAutospacing="1" w:afterAutospacing="1"/>
      </w:pPr>
      <w:r>
        <w:rPr>
          <w:rStyle w:val="7"/>
        </w:rPr>
        <w:t>Reference 1 (4.67%)</w:t>
      </w:r>
      <w:r>
        <w:br w:type="textWrapping"/>
      </w:r>
      <w:r>
        <w:t>Article 1: The purpose of Juvenile Amateur Sports Schools is to use extracurricular time to educate young athletes in the spirit of patriotism, promote their all-round physical development, enable them to master specialized sports techniques, and identify and cultivate outstanding athletes.</w:t>
      </w:r>
    </w:p>
    <w:p w14:paraId="39B5A146">
      <w:pPr>
        <w:pStyle w:val="4"/>
        <w:keepNext w:val="0"/>
        <w:keepLines w:val="0"/>
        <w:widowControl/>
        <w:suppressLineNumbers w:val="0"/>
        <w:spacing w:beforeAutospacing="1" w:afterAutospacing="1"/>
      </w:pPr>
      <w:r>
        <w:rPr>
          <w:rStyle w:val="7"/>
        </w:rPr>
        <w:t>References 2–4 (6.80%)</w:t>
      </w:r>
      <w:r>
        <w:br w:type="textWrapping"/>
      </w:r>
      <w:r>
        <w:t>Article 3: Juvenile Amateur Sports Schools may be organized by the Sports Commission, sports associations, educational administrative departments, or other relevant institutions. Schools established by various departments must be filed with the local Sports Commission. Sports Commissions at all levels are responsible for supervision, inspection, and assistance.</w:t>
      </w:r>
    </w:p>
    <w:p w14:paraId="0DFBBC53">
      <w:pPr>
        <w:keepNext w:val="0"/>
        <w:keepLines w:val="0"/>
        <w:widowControl/>
        <w:suppressLineNumbers w:val="0"/>
      </w:pPr>
      <w:r>
        <w:pict>
          <v:rect id="_x0000_i1026" o:spt="1" style="height:1.5pt;width:432pt;" fillcolor="#A0A0A0" filled="t" stroked="f" coordsize="21600,21600" o:hr="t" o:hrstd="t" o:hralign="center">
            <v:path/>
            <v:fill on="t" focussize="0,0"/>
            <v:stroke on="f"/>
            <v:imagedata o:title=""/>
            <o:lock v:ext="edit"/>
            <w10:wrap type="none"/>
            <w10:anchorlock/>
          </v:rect>
        </w:pict>
      </w:r>
    </w:p>
    <w:p w14:paraId="67C73AA2">
      <w:pPr>
        <w:pStyle w:val="2"/>
        <w:keepNext w:val="0"/>
        <w:keepLines w:val="0"/>
        <w:widowControl/>
        <w:suppressLineNumbers w:val="0"/>
      </w:pPr>
      <w:r>
        <w:t>&lt;Document: January 1958, Circular on Sports Work in 1958&gt; – 3 Coded References [47.02% Coverage]</w:t>
      </w:r>
    </w:p>
    <w:p w14:paraId="38115C65">
      <w:pPr>
        <w:pStyle w:val="4"/>
        <w:keepNext w:val="0"/>
        <w:keepLines w:val="0"/>
        <w:widowControl/>
        <w:suppressLineNumbers w:val="0"/>
        <w:spacing w:beforeAutospacing="1" w:afterAutospacing="1"/>
      </w:pPr>
      <w:r>
        <w:rPr>
          <w:rStyle w:val="7"/>
        </w:rPr>
        <w:t>References 1–2 (38.85%)</w:t>
      </w:r>
      <w:r>
        <w:br w:type="textWrapping"/>
      </w:r>
      <w:r>
        <w:t>Establishing youth and juvenile amateur sports schools is an effective means of discovering and cultivating reserve athletic talent and an important form of extracurricular education. Wherever conditions permit, such schools should be widely established. All public sports venues, sports institutes, and sports schools should organize one or more amateur sports schools primarily for secondary school students. Educational authorities are encouraged to require normal universities with physical education departments, well-equipped secondary schools, and teacher-training institutions to independently or jointly establish such schools.</w:t>
      </w:r>
    </w:p>
    <w:p w14:paraId="5DEACDAD">
      <w:pPr>
        <w:pStyle w:val="4"/>
        <w:keepNext w:val="0"/>
        <w:keepLines w:val="0"/>
        <w:widowControl/>
        <w:suppressLineNumbers w:val="0"/>
        <w:spacing w:beforeAutospacing="1" w:afterAutospacing="1"/>
      </w:pPr>
      <w:r>
        <w:rPr>
          <w:rStyle w:val="7"/>
        </w:rPr>
        <w:t>Reference 3 (8.17%)</w:t>
      </w:r>
      <w:r>
        <w:br w:type="textWrapping"/>
      </w:r>
      <w:r>
        <w:t>Industrial sectors and well-equipped factories and mines are also encouraged to establish amateur sports schools for youth and young workers.</w:t>
      </w:r>
    </w:p>
    <w:p w14:paraId="41924507">
      <w:pPr>
        <w:keepNext w:val="0"/>
        <w:keepLines w:val="0"/>
        <w:widowControl/>
        <w:suppressLineNumbers w:val="0"/>
      </w:pPr>
      <w:r>
        <w:pict>
          <v:rect id="_x0000_i1027" o:spt="1" style="height:1.5pt;width:432pt;" fillcolor="#A0A0A0" filled="t" stroked="f" coordsize="21600,21600" o:hr="t" o:hrstd="t" o:hralign="center">
            <v:path/>
            <v:fill on="t" focussize="0,0"/>
            <v:stroke on="f"/>
            <v:imagedata o:title=""/>
            <o:lock v:ext="edit"/>
            <w10:wrap type="none"/>
            <w10:anchorlock/>
          </v:rect>
        </w:pict>
      </w:r>
    </w:p>
    <w:p w14:paraId="46C7AAC0">
      <w:pPr>
        <w:pStyle w:val="2"/>
        <w:keepNext w:val="0"/>
        <w:keepLines w:val="0"/>
        <w:widowControl/>
        <w:suppressLineNumbers w:val="0"/>
      </w:pPr>
      <w:r>
        <w:t>&lt;Document: March 1962, Summary of the 1962 National Sports Work Conference&gt; – 1 Coded Reference [40.56% Coverage]</w:t>
      </w:r>
    </w:p>
    <w:p w14:paraId="7948941C">
      <w:pPr>
        <w:pStyle w:val="4"/>
        <w:keepNext w:val="0"/>
        <w:keepLines w:val="0"/>
        <w:widowControl/>
        <w:suppressLineNumbers w:val="0"/>
        <w:spacing w:beforeAutospacing="1" w:afterAutospacing="1"/>
      </w:pPr>
      <w:r>
        <w:t>Strengthening amateur training and vigorously cultivating reserve talent.</w:t>
      </w:r>
      <w:r>
        <w:br w:type="textWrapping"/>
      </w:r>
      <w:r>
        <w:t>Amateur training includes youth amateur sports schools, national defense sports clubs, training activities in sports venues, and grassroots representative teams at municipal, county, school, and enterprise levels. Particular emphasis should be placed on properly managing youth amateur sports schools. Experience has shown that these schools are an effective organizational form of amateur training. Their primary task is to cultivate reserve talent who love the motherland, achieve comprehensive physical development, and master specialized techniques. They also help foster grassroots sports activists.</w:t>
      </w:r>
    </w:p>
    <w:p w14:paraId="5DE04833">
      <w:pPr>
        <w:keepNext w:val="0"/>
        <w:keepLines w:val="0"/>
        <w:widowControl/>
        <w:suppressLineNumbers w:val="0"/>
      </w:pPr>
      <w:r>
        <w:pict>
          <v:rect id="_x0000_i1028" o:spt="1" style="height:1.5pt;width:432pt;" fillcolor="#A0A0A0" filled="t" stroked="f" coordsize="21600,21600" o:hr="t" o:hrstd="t" o:hralign="center">
            <v:path/>
            <v:fill on="t" focussize="0,0"/>
            <v:stroke on="f"/>
            <v:imagedata o:title=""/>
            <o:lock v:ext="edit"/>
            <w10:wrap type="none"/>
            <w10:anchorlock/>
          </v:rect>
        </w:pict>
      </w:r>
    </w:p>
    <w:p w14:paraId="6781D9FC">
      <w:pPr>
        <w:pStyle w:val="2"/>
        <w:keepNext w:val="0"/>
        <w:keepLines w:val="0"/>
        <w:widowControl/>
        <w:suppressLineNumbers w:val="0"/>
      </w:pPr>
      <w:r>
        <w:t>&lt;Document: March 1963, Notice on Trial Regulations for Sports Teams&gt; – 2 Coded References [12.30% Coverage]</w:t>
      </w:r>
    </w:p>
    <w:p w14:paraId="69277452">
      <w:pPr>
        <w:pStyle w:val="4"/>
        <w:keepNext w:val="0"/>
        <w:keepLines w:val="0"/>
        <w:widowControl/>
        <w:suppressLineNumbers w:val="0"/>
        <w:spacing w:beforeAutospacing="1" w:afterAutospacing="1"/>
      </w:pPr>
      <w:r>
        <w:t>Reserve talent for sports teams should be vigorously cultivated through youth amateur sports schools, national defense sports clubs, grassroots representative teams, and municipal or county-level amateur teams. Youth amateur sports schools are especially important as key bases for reserve talent. Sports teams should strengthen their guidance. Provincial and regional Sports Commissions should support the People’s Liberation Army in selecting and cultivating athletes.</w:t>
      </w:r>
    </w:p>
    <w:p w14:paraId="1C61424B">
      <w:pPr>
        <w:keepNext w:val="0"/>
        <w:keepLines w:val="0"/>
        <w:widowControl/>
        <w:suppressLineNumbers w:val="0"/>
      </w:pPr>
      <w:r>
        <w:pict>
          <v:rect id="_x0000_i1029" o:spt="1" style="height:1.5pt;width:432pt;" fillcolor="#A0A0A0" filled="t" stroked="f" coordsize="21600,21600" o:hr="t" o:hrstd="t" o:hralign="center">
            <v:path/>
            <v:fill on="t" focussize="0,0"/>
            <v:stroke on="f"/>
            <v:imagedata o:title=""/>
            <o:lock v:ext="edit"/>
            <w10:wrap type="none"/>
            <w10:anchorlock/>
          </v:rect>
        </w:pict>
      </w:r>
    </w:p>
    <w:p w14:paraId="2475C074">
      <w:pPr>
        <w:pStyle w:val="2"/>
        <w:keepNext w:val="0"/>
        <w:keepLines w:val="0"/>
        <w:widowControl/>
        <w:suppressLineNumbers w:val="0"/>
      </w:pPr>
      <w:r>
        <w:t>&lt;Document: March 1964, Report of the National Sports Work Conference&gt; – 1 Coded Reference [98.10% Coverage]</w:t>
      </w:r>
    </w:p>
    <w:p w14:paraId="09474846">
      <w:pPr>
        <w:pStyle w:val="4"/>
        <w:keepNext w:val="0"/>
        <w:keepLines w:val="0"/>
        <w:widowControl/>
        <w:suppressLineNumbers w:val="0"/>
        <w:spacing w:beforeAutospacing="1" w:afterAutospacing="1"/>
      </w:pPr>
      <w:r>
        <w:t>Amateur training is a crucial component in integrating mass participation with performance improvement and has strategic significance for sports development. Various forms of amateur training should be utilized, with particular emphasis on youth amateur sports schools as bases for cultivating reserve talent.</w:t>
      </w:r>
    </w:p>
    <w:p w14:paraId="1BB804EC">
      <w:pPr>
        <w:keepNext w:val="0"/>
        <w:keepLines w:val="0"/>
        <w:widowControl/>
        <w:suppressLineNumbers w:val="0"/>
      </w:pPr>
      <w:r>
        <w:pict>
          <v:rect id="_x0000_i1030" o:spt="1" style="height:1.5pt;width:432pt;" fillcolor="#A0A0A0" filled="t" stroked="f" coordsize="21600,21600" o:hr="t" o:hrstd="t" o:hralign="center">
            <v:path/>
            <v:fill on="t" focussize="0,0"/>
            <v:stroke on="f"/>
            <v:imagedata o:title=""/>
            <o:lock v:ext="edit"/>
            <w10:wrap type="none"/>
            <w10:anchorlock/>
          </v:rect>
        </w:pict>
      </w:r>
    </w:p>
    <w:p w14:paraId="14D3F0AB">
      <w:pPr>
        <w:pStyle w:val="2"/>
        <w:keepNext w:val="0"/>
        <w:keepLines w:val="0"/>
        <w:widowControl/>
        <w:suppressLineNumbers w:val="0"/>
      </w:pPr>
      <w:r>
        <w:t>&lt;Document: September 1964, Trial Regulations on Youth Amateur Sports Schools&gt; – 2 Coded References [12.57% Coverage]</w:t>
      </w:r>
    </w:p>
    <w:p w14:paraId="0894A316">
      <w:pPr>
        <w:pStyle w:val="4"/>
        <w:keepNext w:val="0"/>
        <w:keepLines w:val="0"/>
        <w:widowControl/>
        <w:suppressLineNumbers w:val="0"/>
        <w:spacing w:beforeAutospacing="1" w:afterAutospacing="1"/>
      </w:pPr>
      <w:r>
        <w:t>Youth amateur sports schools are primarily organized by Sports Commissions at all levels, sports venues, national defense sports clubs, and related institutions. Schools and factories with suitable conditions may also establish them. Provincial-level Sports Commissions should directly operate one or two key schools to accumulate experience. Organizational forms should adhere to the amateur principle and adapt flexibly to local conditions.</w:t>
      </w:r>
    </w:p>
    <w:p w14:paraId="0EE7170A">
      <w:pPr>
        <w:pStyle w:val="4"/>
        <w:keepNext w:val="0"/>
        <w:keepLines w:val="0"/>
        <w:widowControl/>
        <w:suppressLineNumbers w:val="0"/>
        <w:spacing w:beforeAutospacing="1" w:afterAutospacing="1"/>
      </w:pPr>
      <w:r>
        <w:t>Administratively, schools are led by their respective supervising departments and professionally guided by Sports Commissions, which have authority to supervise and assist.</w:t>
      </w:r>
    </w:p>
    <w:p w14:paraId="2BB19A53">
      <w:pPr>
        <w:keepNext w:val="0"/>
        <w:keepLines w:val="0"/>
        <w:widowControl/>
        <w:suppressLineNumbers w:val="0"/>
      </w:pPr>
      <w:r>
        <w:pict>
          <v:rect id="_x0000_i1031" o:spt="1" style="height:1.5pt;width:432pt;" fillcolor="#A0A0A0" filled="t" stroked="f" coordsize="21600,21600" o:hr="t" o:hrstd="t" o:hralign="center">
            <v:path/>
            <v:fill on="t" focussize="0,0"/>
            <v:stroke on="f"/>
            <v:imagedata o:title=""/>
            <o:lock v:ext="edit"/>
            <w10:wrap type="none"/>
            <w10:anchorlock/>
          </v:rect>
        </w:pict>
      </w:r>
    </w:p>
    <w:p w14:paraId="4E017D3B">
      <w:pPr>
        <w:pStyle w:val="2"/>
        <w:keepNext w:val="0"/>
        <w:keepLines w:val="0"/>
        <w:widowControl/>
        <w:suppressLineNumbers w:val="0"/>
      </w:pPr>
      <w:r>
        <w:t>&lt;Document: May 1966, Report of the Party Committee of the State Sports Commission&gt; – 1 Coded Reference [86.67% Coverage]</w:t>
      </w:r>
    </w:p>
    <w:p w14:paraId="10686889">
      <w:pPr>
        <w:pStyle w:val="4"/>
        <w:keepNext w:val="0"/>
        <w:keepLines w:val="0"/>
        <w:widowControl/>
        <w:suppressLineNumbers w:val="0"/>
        <w:spacing w:beforeAutospacing="1" w:afterAutospacing="1"/>
      </w:pPr>
      <w:r>
        <w:t>Amateur training connects mass sports and elite training. A comprehensive, tiered amateur training network must be established, with well-planned key youth amateur sports schools serving as foundational bases. Improving coaches’ standards is a priority.</w:t>
      </w:r>
    </w:p>
    <w:p w14:paraId="375AFA5F">
      <w:pPr>
        <w:keepNext w:val="0"/>
        <w:keepLines w:val="0"/>
        <w:widowControl/>
        <w:suppressLineNumbers w:val="0"/>
      </w:pPr>
      <w:r>
        <w:pict>
          <v:rect id="_x0000_i1032" o:spt="1" style="height:1.5pt;width:432pt;" fillcolor="#A0A0A0" filled="t" stroked="f" coordsize="21600,21600" o:hr="t" o:hrstd="t" o:hralign="center">
            <v:path/>
            <v:fill on="t" focussize="0,0"/>
            <v:stroke on="f"/>
            <v:imagedata o:title=""/>
            <o:lock v:ext="edit"/>
            <w10:wrap type="none"/>
            <w10:anchorlock/>
          </v:rect>
        </w:pict>
      </w:r>
    </w:p>
    <w:p w14:paraId="0117F72F">
      <w:pPr>
        <w:pStyle w:val="2"/>
        <w:keepNext w:val="0"/>
        <w:keepLines w:val="0"/>
        <w:widowControl/>
        <w:suppressLineNumbers w:val="0"/>
      </w:pPr>
      <w:r>
        <w:t>&lt;Document: February 1973, Summary of the National Sports Work Conference&gt; – 1 Coded Reference [98.91% Coverage]</w:t>
      </w:r>
    </w:p>
    <w:p w14:paraId="29BEFEDE">
      <w:pPr>
        <w:pStyle w:val="4"/>
        <w:keepNext w:val="0"/>
        <w:keepLines w:val="0"/>
        <w:widowControl/>
        <w:suppressLineNumbers w:val="0"/>
        <w:spacing w:beforeAutospacing="1" w:afterAutospacing="1"/>
      </w:pPr>
      <w:r>
        <w:t>Strengthen leadership over youth and children’s amateur training. Each province should establish at least one key youth amateur sports school. A layered training network should gradually be formed to cultivate reserve talent and grassroots technical backbones.</w:t>
      </w:r>
    </w:p>
    <w:p w14:paraId="2DDF55B7">
      <w:pPr>
        <w:keepNext w:val="0"/>
        <w:keepLines w:val="0"/>
        <w:widowControl/>
        <w:suppressLineNumbers w:val="0"/>
      </w:pPr>
      <w:r>
        <w:pict>
          <v:rect id="_x0000_i1033" o:spt="1" style="height:1.5pt;width:432pt;" fillcolor="#A0A0A0" filled="t" stroked="f" coordsize="21600,21600" o:hr="t" o:hrstd="t" o:hralign="center">
            <v:path/>
            <v:fill on="t" focussize="0,0"/>
            <v:stroke on="f"/>
            <v:imagedata o:title=""/>
            <o:lock v:ext="edit"/>
            <w10:wrap type="none"/>
            <w10:anchorlock/>
          </v:rect>
        </w:pict>
      </w:r>
    </w:p>
    <w:p w14:paraId="7ABF6D13">
      <w:pPr>
        <w:pStyle w:val="2"/>
        <w:keepNext w:val="0"/>
        <w:keepLines w:val="0"/>
        <w:widowControl/>
        <w:suppressLineNumbers w:val="0"/>
      </w:pPr>
      <w:r>
        <w:t>&lt;Document: February 1974, Key Points of Sports Work&gt; – 1 Coded Reference [35.75% Coverage]</w:t>
      </w:r>
    </w:p>
    <w:p w14:paraId="6FD69D7D">
      <w:pPr>
        <w:pStyle w:val="4"/>
        <w:keepNext w:val="0"/>
        <w:keepLines w:val="0"/>
        <w:widowControl/>
        <w:suppressLineNumbers w:val="0"/>
        <w:spacing w:beforeAutospacing="1" w:afterAutospacing="1"/>
      </w:pPr>
      <w:r>
        <w:t>Develop and properly manage children’s amateur sports schools. Provincial Sports Commissions should cooperate with educational departments to establish key schools. Ratios between students and elite athletes should meet specified standards. Key schools should establish linkage mechanisms with elite teams.</w:t>
      </w:r>
    </w:p>
    <w:p w14:paraId="6C219C99">
      <w:pPr>
        <w:keepNext w:val="0"/>
        <w:keepLines w:val="0"/>
        <w:widowControl/>
        <w:suppressLineNumbers w:val="0"/>
      </w:pPr>
      <w:r>
        <w:pict>
          <v:rect id="_x0000_i1034" o:spt="1" style="height:1.5pt;width:432pt;" fillcolor="#A0A0A0" filled="t" stroked="f" coordsize="21600,21600" o:hr="t" o:hrstd="t" o:hralign="center">
            <v:path/>
            <v:fill on="t" focussize="0,0"/>
            <v:stroke on="f"/>
            <v:imagedata o:title=""/>
            <o:lock v:ext="edit"/>
            <w10:wrap type="none"/>
            <w10:anchorlock/>
          </v:rect>
        </w:pict>
      </w:r>
    </w:p>
    <w:p w14:paraId="2D8912B5">
      <w:pPr>
        <w:pStyle w:val="2"/>
        <w:keepNext w:val="0"/>
        <w:keepLines w:val="0"/>
        <w:widowControl/>
        <w:suppressLineNumbers w:val="0"/>
      </w:pPr>
      <w:r>
        <w:t>&lt;Document: February 1978, National Sports Work Conference Summary&gt; – 1 Coded Reference [35.45% Coverage]</w:t>
      </w:r>
    </w:p>
    <w:p w14:paraId="162E0B61">
      <w:pPr>
        <w:pStyle w:val="4"/>
        <w:keepNext w:val="0"/>
        <w:keepLines w:val="0"/>
        <w:widowControl/>
        <w:suppressLineNumbers w:val="0"/>
        <w:spacing w:beforeAutospacing="1" w:afterAutospacing="1"/>
      </w:pPr>
      <w:r>
        <w:t>Local authorities should collaborate with educational departments to strengthen key amateur sports schools. The guiding principle is “early cultivation, solid foundation, systematic training, and active improvement.”</w:t>
      </w:r>
    </w:p>
    <w:p w14:paraId="47267C2B">
      <w:pPr>
        <w:keepNext w:val="0"/>
        <w:keepLines w:val="0"/>
        <w:widowControl/>
        <w:suppressLineNumbers w:val="0"/>
      </w:pPr>
      <w:r>
        <w:pict>
          <v:rect id="_x0000_i1035" o:spt="1" style="height:1.5pt;width:432pt;" fillcolor="#A0A0A0" filled="t" stroked="f" coordsize="21600,21600" o:hr="t" o:hrstd="t" o:hralign="center">
            <v:path/>
            <v:fill on="t" focussize="0,0"/>
            <v:stroke on="f"/>
            <v:imagedata o:title=""/>
            <o:lock v:ext="edit"/>
            <w10:wrap type="none"/>
            <w10:anchorlock/>
          </v:rect>
        </w:pict>
      </w:r>
    </w:p>
    <w:p w14:paraId="2B2B16FE">
      <w:pPr>
        <w:pStyle w:val="2"/>
        <w:keepNext w:val="0"/>
        <w:keepLines w:val="0"/>
        <w:widowControl/>
        <w:suppressLineNumbers w:val="0"/>
      </w:pPr>
      <w:r>
        <w:t>&lt;Document: 1980, Opinions on Strengthening Children’s Amateur Sports Schools&gt; – 2 Coded References [10.96% Coverage]</w:t>
      </w:r>
    </w:p>
    <w:p w14:paraId="2AEFB351">
      <w:pPr>
        <w:pStyle w:val="4"/>
        <w:keepNext w:val="0"/>
        <w:keepLines w:val="0"/>
        <w:widowControl/>
        <w:suppressLineNumbers w:val="0"/>
        <w:spacing w:beforeAutospacing="1" w:afterAutospacing="1"/>
      </w:pPr>
      <w:r>
        <w:t>Amateur sports school students face academic and employment challenges. Cultural education must reach at least an average secondary school level. Flexible training–education arrangements are recommended. Key schools may adopt extended schooling or half-study, half-training systems.</w:t>
      </w:r>
    </w:p>
    <w:p w14:paraId="46E39B21">
      <w:pPr>
        <w:pStyle w:val="4"/>
        <w:keepNext w:val="0"/>
        <w:keepLines w:val="0"/>
        <w:widowControl/>
        <w:suppressLineNumbers w:val="0"/>
        <w:spacing w:beforeAutospacing="1" w:afterAutospacing="1"/>
      </w:pPr>
      <w:r>
        <w:t>Sports schools should continue to train both elite athlete reserves and physical education teachers.</w:t>
      </w:r>
    </w:p>
    <w:p w14:paraId="0B5C5213">
      <w:pPr>
        <w:keepNext w:val="0"/>
        <w:keepLines w:val="0"/>
        <w:widowControl/>
        <w:suppressLineNumbers w:val="0"/>
      </w:pPr>
      <w:r>
        <w:pict>
          <v:rect id="_x0000_i1036" o:spt="1" style="height:1.5pt;width:432pt;" fillcolor="#A0A0A0" filled="t" stroked="f" coordsize="21600,21600" o:hr="t" o:hrstd="t" o:hralign="center">
            <v:path/>
            <v:fill on="t" focussize="0,0"/>
            <v:stroke on="f"/>
            <v:imagedata o:title=""/>
            <o:lock v:ext="edit"/>
            <w10:wrap type="none"/>
            <w10:anchorlock/>
          </v:rect>
        </w:pict>
      </w:r>
    </w:p>
    <w:p w14:paraId="503FDF1B">
      <w:pPr>
        <w:pStyle w:val="2"/>
        <w:keepNext w:val="0"/>
        <w:keepLines w:val="0"/>
        <w:widowControl/>
        <w:suppressLineNumbers w:val="0"/>
      </w:pPr>
      <w:r>
        <w:t>&lt;Document: March 1980, Several Issues Concerning the Construction of Elite Sports Teams&gt; – 2 Coded References [96.40% Coverage]</w:t>
      </w:r>
    </w:p>
    <w:p w14:paraId="7C83D312">
      <w:pPr>
        <w:pStyle w:val="4"/>
        <w:keepNext w:val="0"/>
        <w:keepLines w:val="0"/>
        <w:widowControl/>
        <w:suppressLineNumbers w:val="0"/>
        <w:spacing w:beforeAutospacing="1" w:afterAutospacing="1"/>
      </w:pPr>
      <w:r>
        <w:t>A three-tier system should be formed: elite teams (first line), amateur sports schools (second line), and school teams (third line), ensuring a well-connected training network. Elite teams should recruit athletes who have undergone systematic amateur training. Coaches from elite teams should periodically assist grassroots training institutions.</w:t>
      </w:r>
    </w:p>
    <w:p w14:paraId="0CAEC6F6">
      <w:pPr>
        <w:keepNext w:val="0"/>
        <w:keepLines w:val="0"/>
        <w:widowControl/>
        <w:suppressLineNumbers w:val="0"/>
      </w:pPr>
      <w:r>
        <w:pict>
          <v:rect id="_x0000_i1037" o:spt="1" style="height:1.5pt;width:432pt;" fillcolor="#A0A0A0" filled="t" stroked="f" coordsize="21600,21600" o:hr="t" o:hrstd="t" o:hralign="center">
            <v:path/>
            <v:fill on="t" focussize="0,0"/>
            <v:stroke on="f"/>
            <v:imagedata o:title=""/>
            <o:lock v:ext="edit"/>
            <w10:wrap type="none"/>
            <w10:anchorlock/>
          </v:rect>
        </w:pict>
      </w:r>
    </w:p>
    <w:p w14:paraId="683EC9E3">
      <w:pPr>
        <w:pStyle w:val="2"/>
        <w:keepNext w:val="0"/>
        <w:keepLines w:val="0"/>
        <w:widowControl/>
        <w:suppressLineNumbers w:val="0"/>
      </w:pPr>
      <w:r>
        <w:t>&lt;Document: 1986, Instructions on Accelerating the Cultivation of High-Level Reserve Talent&gt; – 3 Coded References [9.20% Coverage]</w:t>
      </w:r>
    </w:p>
    <w:p w14:paraId="28A32DA5">
      <w:pPr>
        <w:pStyle w:val="4"/>
        <w:keepNext w:val="0"/>
        <w:keepLines w:val="0"/>
        <w:widowControl/>
        <w:suppressLineNumbers w:val="0"/>
        <w:spacing w:beforeAutospacing="1" w:afterAutospacing="1"/>
      </w:pPr>
      <w:r>
        <w:t>Encourage all sectors to participate in cultivating reserve talent. Strengthen cooperation with education departments, industrial enterprises, and social organizations. Provide incentives and rewards for outstanding contributors. Establish a layered, scientifically trained talent pipeline.</w:t>
      </w:r>
    </w:p>
    <w:p w14:paraId="0ACDA25C">
      <w:pPr>
        <w:keepNext w:val="0"/>
        <w:keepLines w:val="0"/>
        <w:widowControl/>
        <w:suppressLineNumbers w:val="0"/>
      </w:pPr>
      <w:r>
        <w:pict>
          <v:rect id="_x0000_i1038" o:spt="1" style="height:1.5pt;width:432pt;" fillcolor="#A0A0A0" filled="t" stroked="f" coordsize="21600,21600" o:hr="t" o:hrstd="t" o:hralign="center">
            <v:path/>
            <v:fill on="t" focussize="0,0"/>
            <v:stroke on="f"/>
            <v:imagedata o:title=""/>
            <o:lock v:ext="edit"/>
            <w10:wrap type="none"/>
            <w10:anchorlock/>
          </v:rect>
        </w:pict>
      </w:r>
    </w:p>
    <w:p w14:paraId="5CDEA838">
      <w:pPr>
        <w:pStyle w:val="2"/>
        <w:keepNext w:val="0"/>
        <w:keepLines w:val="0"/>
        <w:widowControl/>
        <w:suppressLineNumbers w:val="0"/>
      </w:pPr>
      <w:r>
        <w:t>&lt;Document: 1993, Opinions on Deepening Sports Reform&gt; – 1 Coded Reference [0.71% Coverage]</w:t>
      </w:r>
    </w:p>
    <w:p w14:paraId="2B152B63">
      <w:pPr>
        <w:pStyle w:val="4"/>
        <w:keepNext w:val="0"/>
        <w:keepLines w:val="0"/>
        <w:widowControl/>
        <w:suppressLineNumbers w:val="0"/>
        <w:spacing w:beforeAutospacing="1" w:afterAutospacing="1"/>
      </w:pPr>
      <w:r>
        <w:t>Broaden training channels by encouraging social sectors, enterprises, universities, and organizations to establish teams or clubs. Introduce diversified funding mechanisms and partial cost-sharing models.</w:t>
      </w:r>
    </w:p>
    <w:p w14:paraId="3C452643">
      <w:pPr>
        <w:keepNext w:val="0"/>
        <w:keepLines w:val="0"/>
        <w:widowControl/>
        <w:suppressLineNumbers w:val="0"/>
      </w:pPr>
      <w:r>
        <w:pict>
          <v:rect id="_x0000_i1039" o:spt="1" style="height:1.5pt;width:432pt;" fillcolor="#A0A0A0" filled="t" stroked="f" coordsize="21600,21600" o:hr="t" o:hrstd="t" o:hralign="center">
            <v:path/>
            <v:fill on="t" focussize="0,0"/>
            <v:stroke on="f"/>
            <v:imagedata o:title=""/>
            <o:lock v:ext="edit"/>
            <w10:wrap type="none"/>
            <w10:anchorlock/>
          </v:rect>
        </w:pict>
      </w:r>
    </w:p>
    <w:p w14:paraId="59F3EF49">
      <w:pPr>
        <w:pStyle w:val="2"/>
        <w:keepNext w:val="0"/>
        <w:keepLines w:val="0"/>
        <w:widowControl/>
        <w:suppressLineNumbers w:val="0"/>
      </w:pPr>
      <w:r>
        <w:t>&lt;Document: 2000, Measures for the Administration of Traditional Sports Schools&gt; – 7 Coded References [24.30% Coverage]</w:t>
      </w:r>
    </w:p>
    <w:p w14:paraId="15A3482E">
      <w:pPr>
        <w:pStyle w:val="4"/>
        <w:keepNext w:val="0"/>
        <w:keepLines w:val="0"/>
        <w:widowControl/>
        <w:suppressLineNumbers w:val="0"/>
        <w:spacing w:beforeAutospacing="1" w:afterAutospacing="1"/>
      </w:pPr>
      <w:r>
        <w:t>Sports and education administrative departments at all levels share management responsibilities. Schools meeting standards may apply for designation as traditional sports schools. Recognition is conducted at provincial or national levels, with clear evaluation criteria. Outstanding schools and individuals should receive commendations and rewards.</w:t>
      </w:r>
    </w:p>
    <w:p w14:paraId="54A711FE">
      <w:pPr>
        <w:keepNext w:val="0"/>
        <w:keepLines w:val="0"/>
        <w:widowControl/>
        <w:suppressLineNumbers w:val="0"/>
      </w:pPr>
      <w:r>
        <w:pict>
          <v:rect id="_x0000_i1040" o:spt="1" style="height:1.5pt;width:432pt;" fillcolor="#A0A0A0" filled="t" stroked="f" coordsize="21600,21600" o:hr="t" o:hrstd="t" o:hralign="center">
            <v:path/>
            <v:fill on="t" focussize="0,0"/>
            <v:stroke on="f"/>
            <v:imagedata o:title=""/>
            <o:lock v:ext="edit"/>
            <w10:wrap type="none"/>
            <w10:anchorlock/>
          </v:rect>
        </w:pict>
      </w:r>
    </w:p>
    <w:p w14:paraId="085CF2EA">
      <w:pPr>
        <w:pStyle w:val="2"/>
        <w:keepNext w:val="0"/>
        <w:keepLines w:val="0"/>
        <w:widowControl/>
        <w:suppressLineNumbers w:val="0"/>
      </w:pPr>
      <w:r>
        <w:t>&lt;Document: 2011–2020 Olympic Glory Plan Outline&gt; – 1 Coded Reference [1.17% Coverage]</w:t>
      </w:r>
    </w:p>
    <w:p w14:paraId="007D19CD">
      <w:pPr>
        <w:pStyle w:val="4"/>
        <w:keepNext w:val="0"/>
        <w:keepLines w:val="0"/>
        <w:widowControl/>
        <w:suppressLineNumbers w:val="0"/>
        <w:spacing w:beforeAutospacing="1" w:afterAutospacing="1"/>
      </w:pPr>
      <w:r>
        <w:t>Coordinate national sports system resources and strengthen project-based leadership groups to integrate talent, funding, research, and policy support.</w:t>
      </w:r>
    </w:p>
    <w:p w14:paraId="7057BD54">
      <w:pPr>
        <w:keepNext w:val="0"/>
        <w:keepLines w:val="0"/>
        <w:widowControl/>
        <w:suppressLineNumbers w:val="0"/>
      </w:pPr>
      <w:r>
        <w:pict>
          <v:rect id="_x0000_i1041" o:spt="1" style="height:1.5pt;width:432pt;" fillcolor="#A0A0A0" filled="t" stroked="f" coordsize="21600,21600" o:hr="t" o:hrstd="t" o:hralign="center">
            <v:path/>
            <v:fill on="t" focussize="0,0"/>
            <v:stroke on="f"/>
            <v:imagedata o:title=""/>
            <o:lock v:ext="edit"/>
            <w10:wrap type="none"/>
            <w10:anchorlock/>
          </v:rect>
        </w:pict>
      </w:r>
    </w:p>
    <w:p w14:paraId="29390DDB">
      <w:pPr>
        <w:pStyle w:val="2"/>
        <w:keepNext w:val="0"/>
        <w:keepLines w:val="0"/>
        <w:widowControl/>
        <w:suppressLineNumbers w:val="0"/>
      </w:pPr>
      <w:r>
        <w:t>&lt;Document: 2017 Guiding Opinions on Strengthening the Cultivation of Competitive Sports Reserve Talent&gt; – 7 Coded References [29.92% Coverage]</w:t>
      </w:r>
    </w:p>
    <w:p w14:paraId="145F47C8">
      <w:pPr>
        <w:pStyle w:val="4"/>
        <w:keepNext w:val="0"/>
        <w:keepLines w:val="0"/>
        <w:widowControl/>
        <w:suppressLineNumbers w:val="0"/>
        <w:spacing w:beforeAutospacing="1" w:afterAutospacing="1"/>
      </w:pPr>
      <w:r>
        <w:t>School sports form the foundation of reserve talent development. Strengthen physical education, promote “one school, one specialty” models, and enhance the demonstration role of traditional sports schools.</w:t>
      </w:r>
    </w:p>
    <w:p w14:paraId="33665561">
      <w:pPr>
        <w:pStyle w:val="4"/>
        <w:keepNext w:val="0"/>
        <w:keepLines w:val="0"/>
        <w:widowControl/>
        <w:suppressLineNumbers w:val="0"/>
        <w:spacing w:beforeAutospacing="1" w:afterAutospacing="1"/>
      </w:pPr>
      <w:r>
        <w:t>Sports schools serve as primary institutions for reserve training, with clear differentiation among primary, intermediate, and advanced training levels.</w:t>
      </w:r>
    </w:p>
    <w:p w14:paraId="53CF2E38">
      <w:pPr>
        <w:pStyle w:val="4"/>
        <w:keepNext w:val="0"/>
        <w:keepLines w:val="0"/>
        <w:widowControl/>
        <w:suppressLineNumbers w:val="0"/>
        <w:spacing w:beforeAutospacing="1" w:afterAutospacing="1"/>
      </w:pPr>
      <w:r>
        <w:t>Encourage social forces to participate in training through diversified institutions and market mechanisms.</w:t>
      </w:r>
    </w:p>
    <w:p w14:paraId="61A0FCA0">
      <w:pPr>
        <w:pStyle w:val="4"/>
        <w:keepNext w:val="0"/>
        <w:keepLines w:val="0"/>
        <w:widowControl/>
        <w:suppressLineNumbers w:val="0"/>
        <w:spacing w:beforeAutospacing="1" w:afterAutospacing="1"/>
      </w:pPr>
      <w:r>
        <w:t>Improve classification management of sports schools and establish national high-level reserve talent bases.</w:t>
      </w:r>
    </w:p>
    <w:p w14:paraId="6E157051">
      <w:pPr>
        <w:pStyle w:val="4"/>
        <w:keepNext w:val="0"/>
        <w:keepLines w:val="0"/>
        <w:widowControl/>
        <w:suppressLineNumbers w:val="0"/>
        <w:spacing w:beforeAutospacing="1" w:afterAutospacing="1"/>
      </w:pPr>
      <w:r>
        <w:t>Strengthen safety management and insurance mechanisms.</w:t>
      </w:r>
    </w:p>
    <w:p w14:paraId="0E383348">
      <w:pPr>
        <w:pStyle w:val="4"/>
        <w:keepNext w:val="0"/>
        <w:keepLines w:val="0"/>
        <w:widowControl/>
        <w:suppressLineNumbers w:val="0"/>
        <w:spacing w:beforeAutospacing="1" w:afterAutospacing="1"/>
      </w:pPr>
      <w:r>
        <w:t>Sports and education departments should clarify responsibilities and enhance coordination.</w:t>
      </w:r>
    </w:p>
    <w:p w14:paraId="7DD0468F">
      <w:pPr>
        <w:keepNext w:val="0"/>
        <w:keepLines w:val="0"/>
        <w:widowControl/>
        <w:suppressLineNumbers w:val="0"/>
      </w:pPr>
      <w:r>
        <w:pict>
          <v:rect id="_x0000_i1042" o:spt="1" style="height:1.5pt;width:432pt;" fillcolor="#A0A0A0" filled="t" stroked="f" coordsize="21600,21600" o:hr="t" o:hrstd="t" o:hralign="center">
            <v:path/>
            <v:fill on="t" focussize="0,0"/>
            <v:stroke on="f"/>
            <v:imagedata o:title=""/>
            <o:lock v:ext="edit"/>
            <w10:wrap type="none"/>
            <w10:anchorlock/>
          </v:rect>
        </w:pict>
      </w:r>
    </w:p>
    <w:p w14:paraId="442D2743">
      <w:pPr>
        <w:pStyle w:val="2"/>
        <w:keepNext w:val="0"/>
        <w:keepLines w:val="0"/>
        <w:widowControl/>
        <w:suppressLineNumbers w:val="0"/>
      </w:pPr>
      <w:r>
        <w:t>&lt;Document: 2020 Opinions on Deepening the Integration of Sports and Education&gt; – 8 Coded References [26.86% Coverage]</w:t>
      </w:r>
    </w:p>
    <w:p w14:paraId="1591A3A1">
      <w:pPr>
        <w:pStyle w:val="4"/>
        <w:keepNext w:val="0"/>
        <w:keepLines w:val="0"/>
        <w:widowControl/>
        <w:suppressLineNumbers w:val="0"/>
        <w:spacing w:beforeAutospacing="1" w:afterAutospacing="1"/>
      </w:pPr>
      <w:r>
        <w:t>Promote school representative teams and integrate traditional and specialized sports schools. Reform connections between national/provincial teams and university high-level teams.</w:t>
      </w:r>
    </w:p>
    <w:p w14:paraId="0934B0C3">
      <w:pPr>
        <w:pStyle w:val="4"/>
        <w:keepNext w:val="0"/>
        <w:keepLines w:val="0"/>
        <w:widowControl/>
        <w:suppressLineNumbers w:val="0"/>
        <w:spacing w:beforeAutospacing="1" w:afterAutospacing="1"/>
      </w:pPr>
      <w:r>
        <w:t>Reform sports schools into youth training centers while ensuring cultural education within the national education system.</w:t>
      </w:r>
    </w:p>
    <w:p w14:paraId="3D042606">
      <w:pPr>
        <w:pStyle w:val="4"/>
        <w:keepNext w:val="0"/>
        <w:keepLines w:val="0"/>
        <w:widowControl/>
        <w:suppressLineNumbers w:val="0"/>
        <w:spacing w:beforeAutospacing="1" w:afterAutospacing="1"/>
      </w:pPr>
      <w:r>
        <w:t>Encourage sports clubs to enter campuses under regulated standards.</w:t>
      </w:r>
    </w:p>
    <w:p w14:paraId="0E2F7B9A">
      <w:pPr>
        <w:pStyle w:val="4"/>
        <w:keepNext w:val="0"/>
        <w:keepLines w:val="0"/>
        <w:widowControl/>
        <w:suppressLineNumbers w:val="0"/>
        <w:spacing w:beforeAutospacing="1" w:afterAutospacing="1"/>
      </w:pPr>
      <w:r>
        <w:t>Establish a ministerial joint conference system for youth sports work.</w:t>
      </w:r>
    </w:p>
    <w:p w14:paraId="0730F32E">
      <w:pPr>
        <w:keepNext w:val="0"/>
        <w:keepLines w:val="0"/>
        <w:widowControl/>
        <w:suppressLineNumbers w:val="0"/>
      </w:pPr>
      <w:r>
        <w:pict>
          <v:rect id="_x0000_i1043" o:spt="1" style="height:1.5pt;width:432pt;" fillcolor="#A0A0A0" filled="t" stroked="f" coordsize="21600,21600" o:hr="t" o:hrstd="t" o:hralign="center">
            <v:path/>
            <v:fill on="t" focussize="0,0"/>
            <v:stroke on="f"/>
            <v:imagedata o:title=""/>
            <o:lock v:ext="edit"/>
            <w10:wrap type="none"/>
            <w10:anchorlock/>
          </v:rect>
        </w:pict>
      </w:r>
    </w:p>
    <w:p w14:paraId="662622E3">
      <w:pPr>
        <w:pStyle w:val="2"/>
        <w:keepNext w:val="0"/>
        <w:keepLines w:val="0"/>
        <w:widowControl/>
        <w:suppressLineNumbers w:val="0"/>
      </w:pPr>
      <w:r>
        <w:t>&lt;Document: 2022 Sports Law of the People’s Republic of China&gt; – 2 Coded References [0.78% Coverage]</w:t>
      </w:r>
    </w:p>
    <w:p w14:paraId="48C1952F">
      <w:pPr>
        <w:pStyle w:val="4"/>
        <w:keepNext w:val="0"/>
        <w:keepLines w:val="0"/>
        <w:widowControl/>
        <w:suppressLineNumbers w:val="0"/>
        <w:spacing w:beforeAutospacing="1" w:afterAutospacing="1"/>
      </w:pPr>
      <w:r>
        <w:t>The state strengthens the construction of sports schools and traditional sports schools and supports amateur training to cultivate reserve talent.</w:t>
      </w:r>
    </w:p>
    <w:p w14:paraId="43F2F013">
      <w:pPr>
        <w:pStyle w:val="4"/>
        <w:keepNext w:val="0"/>
        <w:keepLines w:val="0"/>
        <w:widowControl/>
        <w:suppressLineNumbers w:val="0"/>
        <w:spacing w:beforeAutospacing="1" w:afterAutospacing="1"/>
      </w:pPr>
      <w:r>
        <w:t>Sports and education administrative departments must ensure that athletes undergoing compulsory education complete their education.</w:t>
      </w:r>
    </w:p>
    <w:p w14:paraId="3048044C">
      <w:pPr>
        <w:keepNext w:val="0"/>
        <w:keepLines w:val="0"/>
        <w:widowControl/>
        <w:suppressLineNumbers w:val="0"/>
      </w:pPr>
      <w:r>
        <w:pict>
          <v:rect id="_x0000_i1044" o:spt="1" style="height:1.5pt;width:432pt;" fillcolor="#A0A0A0" filled="t" stroked="f" coordsize="21600,21600" o:hr="t" o:hrstd="t" o:hralign="center">
            <v:path/>
            <v:fill on="t" focussize="0,0"/>
            <v:stroke on="f"/>
            <v:imagedata o:title=""/>
            <o:lock v:ext="edit"/>
            <w10:wrap type="none"/>
            <w10:anchorlock/>
          </v:rect>
        </w:pict>
      </w:r>
    </w:p>
    <w:p w14:paraId="2A52F5D9">
      <w:pPr>
        <w:pStyle w:val="2"/>
        <w:keepNext w:val="0"/>
        <w:keepLines w:val="0"/>
        <w:widowControl/>
        <w:suppressLineNumbers w:val="0"/>
      </w:pPr>
      <w:r>
        <w:t>&lt;Document: 2022 Ministry of Education Notice on Further Strengthening High-Level University Sports Teams&gt; – 2 Coded References [16.55% Coverage]</w:t>
      </w:r>
    </w:p>
    <w:p w14:paraId="0B12C36E">
      <w:pPr>
        <w:pStyle w:val="4"/>
        <w:keepNext w:val="0"/>
        <w:keepLines w:val="0"/>
        <w:widowControl/>
        <w:suppressLineNumbers w:val="0"/>
        <w:spacing w:beforeAutospacing="1" w:afterAutospacing="1"/>
      </w:pPr>
      <w:r>
        <w:t>Deepen the integration of sports and education, improve governance and accountability, and ensure compliance with educational principles. Universities bear primary responsibility for management, while education authorities oversee planning and policy enforcement.</w:t>
      </w:r>
    </w:p>
    <w:p w14:paraId="6E825FCC">
      <w:pPr>
        <w:pStyle w:val="4"/>
        <w:keepNext w:val="0"/>
        <w:keepLines w:val="0"/>
        <w:widowControl/>
        <w:suppressLineNumbers w:val="0"/>
        <w:spacing w:beforeAutospacing="1" w:afterAutospacing="1"/>
      </w:pPr>
      <w:r>
        <w:t>High-level university teams should be incorporated into the competitive sports reserve talent system, with clear pathways for outstanding university athletes to enter provincial and national teams.</w:t>
      </w:r>
    </w:p>
    <w:p w14:paraId="62A7B4A7">
      <w:bookmarkStart w:id="0" w:name="_GoBack"/>
      <w:bookmarkEnd w:id="0"/>
    </w:p>
    <w:sectPr>
      <w:pgSz w:w="11909" w:h="16834"/>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86"/>
    <w:family w:val="swiss"/>
    <w:pitch w:val="default"/>
    <w:sig w:usb0="E4002EFF" w:usb1="C000E47F" w:usb2="00000009" w:usb3="00000000" w:csb0="200001F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8148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4294967295" w:semiHidden="0" w:name="heading 1"/>
    <w:lsdException w:unhideWhenUsed="0" w:uiPriority="4294967295" w:semiHidden="0" w:name="heading 2"/>
    <w:lsdException w:unhideWhenUsed="0" w:uiPriority="4294967295" w:semiHidden="0" w:name="heading 3"/>
    <w:lsdException w:unhideWhenUsed="0" w:uiPriority="4294967295" w:semiHidden="0" w:name="heading 4"/>
    <w:lsdException w:unhideWhenUsed="0" w:uiPriority="4294967295" w:semiHidden="0" w:name="heading 5"/>
    <w:lsdException w:unhideWhenUsed="0" w:uiPriority="4294967295" w:semiHidden="0" w:name="heading 6"/>
    <w:lsdException w:unhideWhenUsed="0" w:uiPriority="4294967295" w:semiHidden="0" w:name="heading 7"/>
    <w:lsdException w:unhideWhenUsed="0" w:uiPriority="4294967295" w:semiHidden="0" w:name="heading 8"/>
    <w:lsdException w:unhideWhenUsed="0" w:uiPriority="4294967295" w:semiHidden="0" w:name="heading 9"/>
    <w:lsdException w:unhideWhenUsed="0" w:uiPriority="4294967295" w:semiHidden="0" w:name="index 1"/>
    <w:lsdException w:unhideWhenUsed="0" w:uiPriority="4294967295" w:semiHidden="0" w:name="index 2"/>
    <w:lsdException w:unhideWhenUsed="0" w:uiPriority="4294967295" w:semiHidden="0" w:name="index 3"/>
    <w:lsdException w:unhideWhenUsed="0" w:uiPriority="4294967295" w:semiHidden="0" w:name="index 4"/>
    <w:lsdException w:unhideWhenUsed="0" w:uiPriority="4294967295" w:semiHidden="0" w:name="index 5"/>
    <w:lsdException w:unhideWhenUsed="0" w:uiPriority="4294967295" w:semiHidden="0" w:name="index 6"/>
    <w:lsdException w:unhideWhenUsed="0" w:uiPriority="4294967295" w:semiHidden="0" w:name="index 7"/>
    <w:lsdException w:unhideWhenUsed="0" w:uiPriority="4294967295" w:semiHidden="0" w:name="index 8"/>
    <w:lsdException w:unhideWhenUsed="0" w:uiPriority="4294967295" w:semiHidden="0" w:name="index 9"/>
    <w:lsdException w:unhideWhenUsed="0" w:uiPriority="4294967295" w:semiHidden="0" w:name="toc 1"/>
    <w:lsdException w:unhideWhenUsed="0" w:uiPriority="4294967295" w:semiHidden="0" w:name="toc 2"/>
    <w:lsdException w:unhideWhenUsed="0" w:uiPriority="4294967295" w:semiHidden="0" w:name="toc 3"/>
    <w:lsdException w:unhideWhenUsed="0" w:uiPriority="4294967295" w:semiHidden="0" w:name="toc 4"/>
    <w:lsdException w:unhideWhenUsed="0" w:uiPriority="4294967295" w:semiHidden="0" w:name="toc 5"/>
    <w:lsdException w:unhideWhenUsed="0" w:uiPriority="4294967295" w:semiHidden="0" w:name="toc 6"/>
    <w:lsdException w:unhideWhenUsed="0" w:uiPriority="4294967295" w:semiHidden="0" w:name="toc 7"/>
    <w:lsdException w:unhideWhenUsed="0" w:uiPriority="4294967295" w:semiHidden="0" w:name="toc 8"/>
    <w:lsdException w:unhideWhenUsed="0" w:uiPriority="4294967295" w:semiHidden="0" w:name="toc 9"/>
    <w:lsdException w:unhideWhenUsed="0" w:uiPriority="4294967295" w:semiHidden="0" w:name="Normal Indent"/>
    <w:lsdException w:unhideWhenUsed="0" w:uiPriority="4294967295" w:semiHidden="0" w:name="footnote text"/>
    <w:lsdException w:unhideWhenUsed="0" w:uiPriority="4294967295" w:semiHidden="0" w:name="annotation text"/>
    <w:lsdException w:unhideWhenUsed="0" w:uiPriority="4294967295" w:semiHidden="0" w:name="header"/>
    <w:lsdException w:unhideWhenUsed="0" w:uiPriority="4294967295" w:semiHidden="0" w:name="footer"/>
    <w:lsdException w:unhideWhenUsed="0" w:uiPriority="4294967295" w:semiHidden="0" w:name="index heading"/>
    <w:lsdException w:unhideWhenUsed="0" w:uiPriority="4294967295" w:semiHidden="0" w:name="caption"/>
    <w:lsdException w:unhideWhenUsed="0" w:uiPriority="4294967295" w:semiHidden="0" w:name="table of figures"/>
    <w:lsdException w:unhideWhenUsed="0" w:uiPriority="4294967295" w:semiHidden="0" w:name="envelope address"/>
    <w:lsdException w:unhideWhenUsed="0" w:uiPriority="4294967295" w:semiHidden="0" w:name="envelope return"/>
    <w:lsdException w:unhideWhenUsed="0" w:uiPriority="4294967295" w:semiHidden="0" w:name="footnote reference"/>
    <w:lsdException w:unhideWhenUsed="0" w:uiPriority="4294967295" w:semiHidden="0" w:name="annotation reference"/>
    <w:lsdException w:unhideWhenUsed="0" w:uiPriority="4294967295" w:semiHidden="0" w:name="line number"/>
    <w:lsdException w:unhideWhenUsed="0" w:uiPriority="4294967295" w:semiHidden="0" w:name="page number"/>
    <w:lsdException w:unhideWhenUsed="0" w:uiPriority="4294967295" w:semiHidden="0" w:name="endnote reference"/>
    <w:lsdException w:unhideWhenUsed="0" w:uiPriority="4294967295" w:semiHidden="0" w:name="endnote text"/>
    <w:lsdException w:unhideWhenUsed="0" w:uiPriority="4294967295" w:semiHidden="0" w:name="table of authorities"/>
    <w:lsdException w:unhideWhenUsed="0" w:uiPriority="4294967295" w:semiHidden="0" w:name="macro"/>
    <w:lsdException w:unhideWhenUsed="0" w:uiPriority="4294967295" w:semiHidden="0" w:name="toa heading"/>
    <w:lsdException w:unhideWhenUsed="0" w:uiPriority="4294967295" w:semiHidden="0" w:name="List"/>
    <w:lsdException w:unhideWhenUsed="0" w:uiPriority="4294967295" w:semiHidden="0" w:name="List Bullet"/>
    <w:lsdException w:unhideWhenUsed="0" w:uiPriority="4294967295" w:semiHidden="0" w:name="List Number"/>
    <w:lsdException w:unhideWhenUsed="0" w:uiPriority="4294967295" w:semiHidden="0" w:name="List 2"/>
    <w:lsdException w:unhideWhenUsed="0" w:uiPriority="4294967295" w:semiHidden="0" w:name="List 3"/>
    <w:lsdException w:unhideWhenUsed="0" w:uiPriority="4294967295" w:semiHidden="0" w:name="List 4"/>
    <w:lsdException w:unhideWhenUsed="0" w:uiPriority="4294967295" w:semiHidden="0" w:name="List 5"/>
    <w:lsdException w:unhideWhenUsed="0" w:uiPriority="4294967295" w:semiHidden="0" w:name="List Bullet 2"/>
    <w:lsdException w:unhideWhenUsed="0" w:uiPriority="4294967295" w:semiHidden="0" w:name="List Bullet 3"/>
    <w:lsdException w:unhideWhenUsed="0" w:uiPriority="4294967295" w:semiHidden="0" w:name="List Bullet 4"/>
    <w:lsdException w:unhideWhenUsed="0" w:uiPriority="4294967295" w:semiHidden="0" w:name="List Bullet 5"/>
    <w:lsdException w:unhideWhenUsed="0" w:uiPriority="4294967295" w:semiHidden="0" w:name="List Number 2"/>
    <w:lsdException w:unhideWhenUsed="0" w:uiPriority="4294967295" w:semiHidden="0" w:name="List Number 3"/>
    <w:lsdException w:unhideWhenUsed="0" w:uiPriority="4294967295" w:semiHidden="0" w:name="List Number 4"/>
    <w:lsdException w:unhideWhenUsed="0" w:uiPriority="4294967295" w:semiHidden="0" w:name="List Number 5"/>
    <w:lsdException w:unhideWhenUsed="0" w:uiPriority="4294967295" w:semiHidden="0" w:name="Title"/>
    <w:lsdException w:unhideWhenUsed="0" w:uiPriority="4294967295" w:semiHidden="0" w:name="Closing"/>
    <w:lsdException w:unhideWhenUsed="0" w:uiPriority="4294967295" w:semiHidden="0" w:name="Signature"/>
    <w:lsdException w:qFormat="1" w:unhideWhenUsed="0" w:uiPriority="0" w:semiHidden="0" w:name="Default Paragraph Font"/>
    <w:lsdException w:qFormat="1" w:unhideWhenUsed="0" w:uiPriority="0" w:semiHidden="0" w:name="Body Text"/>
    <w:lsdException w:unhideWhenUsed="0" w:uiPriority="4294967295" w:semiHidden="0" w:name="Body Text Indent"/>
    <w:lsdException w:unhideWhenUsed="0" w:uiPriority="4294967295" w:semiHidden="0" w:name="List Continue"/>
    <w:lsdException w:unhideWhenUsed="0" w:uiPriority="4294967295" w:semiHidden="0" w:name="List Continue 2"/>
    <w:lsdException w:unhideWhenUsed="0" w:uiPriority="4294967295" w:semiHidden="0" w:name="List Continue 3"/>
    <w:lsdException w:unhideWhenUsed="0" w:uiPriority="4294967295" w:semiHidden="0" w:name="List Continue 4"/>
    <w:lsdException w:unhideWhenUsed="0" w:uiPriority="4294967295" w:semiHidden="0" w:name="List Continue 5"/>
    <w:lsdException w:unhideWhenUsed="0" w:uiPriority="4294967295" w:semiHidden="0" w:name="Message Header"/>
    <w:lsdException w:unhideWhenUsed="0" w:uiPriority="4294967295" w:semiHidden="0" w:name="Subtitle"/>
    <w:lsdException w:unhideWhenUsed="0" w:uiPriority="4294967295" w:semiHidden="0" w:name="Salutation"/>
    <w:lsdException w:unhideWhenUsed="0" w:uiPriority="4294967295" w:semiHidden="0" w:name="Date"/>
    <w:lsdException w:unhideWhenUsed="0" w:uiPriority="4294967295" w:semiHidden="0" w:name="Body Text First Indent"/>
    <w:lsdException w:unhideWhenUsed="0" w:uiPriority="4294967295" w:semiHidden="0" w:name="Body Text First Indent 2"/>
    <w:lsdException w:unhideWhenUsed="0" w:uiPriority="4294967295" w:semiHidden="0" w:name="Note Heading"/>
    <w:lsdException w:unhideWhenUsed="0" w:uiPriority="4294967295" w:semiHidden="0" w:name="Body Text 2"/>
    <w:lsdException w:unhideWhenUsed="0" w:uiPriority="4294967295" w:semiHidden="0" w:name="Body Text 3"/>
    <w:lsdException w:unhideWhenUsed="0" w:uiPriority="4294967295" w:semiHidden="0" w:name="Body Text Indent 2"/>
    <w:lsdException w:unhideWhenUsed="0" w:uiPriority="4294967295" w:semiHidden="0" w:name="Body Text Indent 3"/>
    <w:lsdException w:unhideWhenUsed="0" w:uiPriority="4294967295" w:semiHidden="0" w:name="Block Text"/>
    <w:lsdException w:unhideWhenUsed="0" w:uiPriority="4294967295" w:semiHidden="0" w:name="Hyperlink"/>
    <w:lsdException w:unhideWhenUsed="0" w:uiPriority="4294967295" w:semiHidden="0" w:name="FollowedHyperlink"/>
    <w:lsdException w:unhideWhenUsed="0" w:uiPriority="4294967295" w:semiHidden="0" w:name="Strong"/>
    <w:lsdException w:unhideWhenUsed="0" w:uiPriority="4294967295" w:semiHidden="0" w:name="Emphasis"/>
    <w:lsdException w:unhideWhenUsed="0" w:uiPriority="4294967295" w:semiHidden="0" w:name="Document Map"/>
    <w:lsdException w:unhideWhenUsed="0" w:uiPriority="4294967295" w:semiHidden="0" w:name="Plain Text"/>
    <w:lsdException w:unhideWhenUsed="0" w:uiPriority="4294967295" w:semiHidden="0" w:name="E-mail Signature"/>
    <w:lsdException w:qFormat="1" w:unhideWhenUsed="0" w:uiPriority="0" w:semiHidden="0" w:name="Normal (Web)"/>
    <w:lsdException w:unhideWhenUsed="0" w:uiPriority="4294967295" w:semiHidden="0" w:name="HTML Acronym"/>
    <w:lsdException w:unhideWhenUsed="0" w:uiPriority="4294967295" w:semiHidden="0" w:name="HTML Address"/>
    <w:lsdException w:unhideWhenUsed="0" w:uiPriority="4294967295" w:semiHidden="0" w:name="HTML Cite"/>
    <w:lsdException w:unhideWhenUsed="0" w:uiPriority="4294967295" w:semiHidden="0" w:name="HTML Code"/>
    <w:lsdException w:unhideWhenUsed="0" w:uiPriority="4294967295" w:semiHidden="0" w:name="HTML Definition"/>
    <w:lsdException w:unhideWhenUsed="0" w:uiPriority="4294967295" w:semiHidden="0" w:name="HTML Keyboard"/>
    <w:lsdException w:unhideWhenUsed="0" w:uiPriority="4294967295" w:semiHidden="0" w:name="HTML Preformatted"/>
    <w:lsdException w:unhideWhenUsed="0" w:uiPriority="4294967295" w:semiHidden="0" w:name="HTML Sample"/>
    <w:lsdException w:unhideWhenUsed="0" w:uiPriority="4294967295" w:semiHidden="0" w:name="HTML Typewriter"/>
    <w:lsdException w:unhideWhenUsed="0" w:uiPriority="4294967295" w:semiHidden="0" w:name="HTML Variable"/>
    <w:lsdException w:unhideWhenUsed="0" w:uiPriority="4294967295" w:semiHidden="0" w:name="Normal Table"/>
    <w:lsdException w:unhideWhenUsed="0" w:uiPriority="4294967295" w:semiHidden="0" w:name="annotation subject"/>
    <w:lsdException w:unhideWhenUsed="0" w:uiPriority="4294967295" w:semiHidden="0" w:name="Table Simple 1"/>
    <w:lsdException w:unhideWhenUsed="0" w:uiPriority="4294967295" w:semiHidden="0" w:name="Table Simple 2"/>
    <w:lsdException w:unhideWhenUsed="0" w:uiPriority="4294967295" w:semiHidden="0" w:name="Table Simple 3"/>
    <w:lsdException w:unhideWhenUsed="0" w:uiPriority="4294967295" w:semiHidden="0" w:name="Table Classic 1"/>
    <w:lsdException w:unhideWhenUsed="0" w:uiPriority="4294967295" w:semiHidden="0" w:name="Table Classic 2"/>
    <w:lsdException w:unhideWhenUsed="0" w:uiPriority="4294967295" w:semiHidden="0" w:name="Table Classic 3"/>
    <w:lsdException w:unhideWhenUsed="0" w:uiPriority="4294967295" w:semiHidden="0" w:name="Table Classic 4"/>
    <w:lsdException w:unhideWhenUsed="0" w:uiPriority="4294967295" w:semiHidden="0" w:name="Table Colorful 1"/>
    <w:lsdException w:unhideWhenUsed="0" w:uiPriority="4294967295" w:semiHidden="0" w:name="Table Colorful 2"/>
    <w:lsdException w:unhideWhenUsed="0" w:uiPriority="4294967295" w:semiHidden="0" w:name="Table Colorful 3"/>
    <w:lsdException w:unhideWhenUsed="0" w:uiPriority="4294967295" w:semiHidden="0" w:name="Table Columns 1"/>
    <w:lsdException w:unhideWhenUsed="0" w:uiPriority="4294967295" w:semiHidden="0" w:name="Table Columns 2"/>
    <w:lsdException w:unhideWhenUsed="0" w:uiPriority="4294967295" w:semiHidden="0" w:name="Table Columns 3"/>
    <w:lsdException w:unhideWhenUsed="0" w:uiPriority="4294967295" w:semiHidden="0" w:name="Table Columns 4"/>
    <w:lsdException w:unhideWhenUsed="0" w:uiPriority="4294967295" w:semiHidden="0" w:name="Table Columns 5"/>
    <w:lsdException w:unhideWhenUsed="0" w:uiPriority="4294967295" w:semiHidden="0" w:name="Table Grid 1"/>
    <w:lsdException w:unhideWhenUsed="0" w:uiPriority="4294967295" w:semiHidden="0" w:name="Table Grid 2"/>
    <w:lsdException w:unhideWhenUsed="0" w:uiPriority="4294967295" w:semiHidden="0" w:name="Table Grid 3"/>
    <w:lsdException w:unhideWhenUsed="0" w:uiPriority="4294967295" w:semiHidden="0" w:name="Table Grid 4"/>
    <w:lsdException w:unhideWhenUsed="0" w:uiPriority="4294967295" w:semiHidden="0" w:name="Table Grid 5"/>
    <w:lsdException w:unhideWhenUsed="0" w:uiPriority="4294967295" w:semiHidden="0" w:name="Table Grid 6"/>
    <w:lsdException w:unhideWhenUsed="0" w:uiPriority="4294967295" w:semiHidden="0" w:name="Table Grid 7"/>
    <w:lsdException w:unhideWhenUsed="0" w:uiPriority="4294967295" w:semiHidden="0" w:name="Table Grid 8"/>
    <w:lsdException w:unhideWhenUsed="0" w:uiPriority="4294967295" w:semiHidden="0" w:name="Table List 1"/>
    <w:lsdException w:unhideWhenUsed="0" w:uiPriority="4294967295" w:semiHidden="0" w:name="Table List 2"/>
    <w:lsdException w:unhideWhenUsed="0" w:uiPriority="4294967295" w:semiHidden="0" w:name="Table List 3"/>
    <w:lsdException w:unhideWhenUsed="0" w:uiPriority="4294967295" w:semiHidden="0" w:name="Table List 4"/>
    <w:lsdException w:unhideWhenUsed="0" w:uiPriority="4294967295" w:semiHidden="0" w:name="Table List 5"/>
    <w:lsdException w:unhideWhenUsed="0" w:uiPriority="4294967295" w:semiHidden="0" w:name="Table List 6"/>
    <w:lsdException w:unhideWhenUsed="0" w:uiPriority="4294967295" w:semiHidden="0" w:name="Table List 7"/>
    <w:lsdException w:unhideWhenUsed="0" w:uiPriority="4294967295" w:semiHidden="0" w:name="Table List 8"/>
    <w:lsdException w:unhideWhenUsed="0" w:uiPriority="4294967295" w:semiHidden="0" w:name="Table 3D effects 1"/>
    <w:lsdException w:unhideWhenUsed="0" w:uiPriority="4294967295" w:semiHidden="0" w:name="Table 3D effects 2"/>
    <w:lsdException w:unhideWhenUsed="0" w:uiPriority="4294967295" w:semiHidden="0" w:name="Table 3D effects 3"/>
    <w:lsdException w:unhideWhenUsed="0" w:uiPriority="4294967295" w:semiHidden="0" w:name="Table Contemporary"/>
    <w:lsdException w:unhideWhenUsed="0" w:uiPriority="4294967295" w:semiHidden="0" w:name="Table Elegant"/>
    <w:lsdException w:unhideWhenUsed="0" w:uiPriority="4294967295" w:semiHidden="0" w:name="Table Professional"/>
    <w:lsdException w:unhideWhenUsed="0" w:uiPriority="4294967295" w:semiHidden="0" w:name="Table Subtle 1"/>
    <w:lsdException w:unhideWhenUsed="0" w:uiPriority="4294967295" w:semiHidden="0" w:name="Table Subtle 2"/>
    <w:lsdException w:unhideWhenUsed="0" w:uiPriority="4294967295" w:semiHidden="0" w:name="Table Web 1"/>
    <w:lsdException w:unhideWhenUsed="0" w:uiPriority="4294967295" w:semiHidden="0" w:name="Table Web 2"/>
    <w:lsdException w:unhideWhenUsed="0" w:uiPriority="4294967295" w:semiHidden="0" w:name="Table Web 3"/>
    <w:lsdException w:unhideWhenUsed="0" w:uiPriority="4294967295" w:semiHidden="0" w:name="Balloon Text"/>
    <w:lsdException w:unhideWhenUsed="0" w:uiPriority="4294967295" w:semiHidden="0" w:name="Table Grid"/>
    <w:lsdException w:unhideWhenUsed="0" w:uiPriority="4294967295"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spacing w:line="400" w:lineRule="exact"/>
      <w:ind w:firstLine="643"/>
      <w:jc w:val="both"/>
    </w:pPr>
    <w:rPr>
      <w:rFonts w:ascii="Times New Roman" w:hAnsi="Times New Roman" w:eastAsia="Times New Roman"/>
      <w:sz w:val="24"/>
    </w:rPr>
  </w:style>
  <w:style w:type="paragraph" w:styleId="2">
    <w:name w:val="heading 3"/>
    <w:basedOn w:val="1"/>
    <w:next w:val="1"/>
    <w:uiPriority w:val="4294967295"/>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qFormat/>
    <w:uiPriority w:val="0"/>
  </w:style>
  <w:style w:type="table" w:default="1" w:styleId="5">
    <w:name w:val="Normal Table"/>
    <w:uiPriority w:val="4294967295"/>
    <w:tblPr>
      <w:tblCellMar>
        <w:top w:w="0" w:type="dxa"/>
        <w:left w:w="108" w:type="dxa"/>
        <w:bottom w:w="0" w:type="dxa"/>
        <w:right w:w="108" w:type="dxa"/>
      </w:tblCellMar>
    </w:tblPr>
  </w:style>
  <w:style w:type="paragraph" w:styleId="3">
    <w:name w:val="Body Text"/>
    <w:basedOn w:val="1"/>
    <w:qFormat/>
    <w:uiPriority w:val="0"/>
    <w:pPr>
      <w:spacing w:line="240" w:lineRule="auto"/>
      <w:ind w:firstLine="0"/>
      <w:jc w:val="left"/>
    </w:pPr>
    <w:rPr>
      <w:rFonts w:ascii="宋体" w:hAnsi="宋体" w:eastAsia="宋体"/>
      <w:color w:val="000000"/>
      <w:sz w:val="21"/>
    </w:rPr>
  </w:style>
  <w:style w:type="paragraph" w:styleId="4">
    <w:name w:val="Normal (Web)"/>
    <w:basedOn w:val="1"/>
    <w:qFormat/>
    <w:uiPriority w:val="0"/>
    <w:pPr>
      <w:jc w:val="left"/>
    </w:pPr>
  </w:style>
  <w:style w:type="character" w:styleId="7">
    <w:name w:val="Strong"/>
    <w:basedOn w:val="6"/>
    <w:uiPriority w:val="4294967295"/>
    <w:rPr>
      <w:b/>
    </w:rPr>
  </w:style>
  <w:style w:type="paragraph" w:customStyle="1" w:styleId="8">
    <w:name w:val="[Normal]"/>
    <w:qFormat/>
    <w:uiPriority w:val="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宋体" w:hAnsi="宋体" w:eastAsia="宋体"/>
      <w:color w:val="auto"/>
      <w:sz w:val="24"/>
      <w:shd w:val="clear" w:fill="auto"/>
    </w:rPr>
  </w:style>
  <w:style w:type="paragraph" w:customStyle="1" w:styleId="9">
    <w:name w:val="fulltext_text"/>
    <w:basedOn w:val="1"/>
    <w:qFormat/>
    <w:uiPriority w:val="0"/>
    <w:pPr>
      <w:spacing w:line="525" w:lineRule="atLeast"/>
      <w:ind w:firstLine="0"/>
      <w:jc w:val="left"/>
    </w:pPr>
    <w:rPr>
      <w:rFonts w:ascii="宋体" w:hAnsi="宋体" w:eastAsia="宋体"/>
    </w:rPr>
  </w:style>
  <w:style w:type="paragraph" w:customStyle="1" w:styleId="10">
    <w:name w:val="Table Text"/>
    <w:basedOn w:val="1"/>
    <w:qFormat/>
    <w:uiPriority w:val="0"/>
    <w:pPr>
      <w:spacing w:line="240" w:lineRule="auto"/>
      <w:ind w:firstLine="0"/>
      <w:jc w:val="left"/>
    </w:pPr>
    <w:rPr>
      <w:rFonts w:ascii="微软雅黑" w:hAnsi="微软雅黑" w:eastAsia="微软雅黑"/>
      <w:color w:val="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12392</Words>
  <Characters>13212</Characters>
  <TotalTime>4</TotalTime>
  <ScaleCrop>false</ScaleCrop>
  <LinksUpToDate>false</LinksUpToDate>
  <CharactersWithSpaces>13772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2026-03-24T08:30:57Z</dcterms:created>
  <dc:creator>shiyi</dc:creator>
  <cp:lastModifiedBy>CI</cp:lastModifiedBy>
  <dcterms:modified xsi:type="dcterms:W3CDTF">2026-03-24T08:35:43Z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eyJoZGlkIjoiOTM3YTZhMmQ5YjRkYWU4ZjU1Y2RhODcyN2E4MDQ1YWIiLCJ1c2VySWQiOiI0MzUzNTQ5NTIifQ==</vt:lpwstr>
  </property>
  <property fmtid="{D5CDD505-2E9C-101B-9397-08002B2CF9AE}" pid="3" name="KSOProductBuildVer">
    <vt:lpwstr>2052-12.1.0.25225</vt:lpwstr>
  </property>
  <property fmtid="{D5CDD505-2E9C-101B-9397-08002B2CF9AE}" pid="4" name="ICV">
    <vt:lpwstr>DCE5F1E9F77244D1B8A8A0040725933A_13</vt:lpwstr>
  </property>
</Properties>
</file>